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Risk Register — Acme Inc</w:t>
      </w:r>
    </w:p>
    <w:p>
      <w:pPr>
        <w:ind w:left="720"/>
      </w:pPr>
      <w:r>
        <w:rPr>
          <w:i/>
          <w:color w:val="666666"/>
        </w:rPr>
        <w:t xml:space="preserve">Auto-generated by Codepliant on 2026-03-19.</w:t>
      </w:r>
    </w:p>
    <w:p>
      <w:pPr>
        <w:ind w:left="720"/>
      </w:pPr>
      <w:r>
        <w:rPr>
          <w:i/>
          <w:color w:val="666666"/>
        </w:rPr>
        <w:t xml:space="preserve">This register catalogs compliance risks identified from code analysis.</w:t>
      </w:r>
    </w:p>
    <w:p>
      <w:pPr>
        <w:ind w:left="720"/>
      </w:pPr>
      <w:r>
        <w:rPr>
          <w:i/>
          <w:color w:val="666666"/>
        </w:rPr>
        <w:t xml:space="preserve">Review with legal and security teams before relying on this for risk management.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Style w:val="Heading2"/>
      </w:pPr>
      <w:r>
        <w:t>Executive Summary</w:t>
      </w:r>
    </w:p>
    <w:p>
      <w:r>
        <w:rPr>
          <w:sz w:val="20"/>
        </w:rPr>
        <w:t xml:space="preserve">Risk Level  |  Count</w:t>
      </w:r>
    </w:p>
    <w:p>
      <w:r>
        <w:rPr>
          <w:sz w:val="20"/>
        </w:rPr>
        <w:t xml:space="preserve">🔴 Critical  |  3</w:t>
      </w:r>
    </w:p>
    <w:p>
      <w:r>
        <w:rPr>
          <w:sz w:val="20"/>
        </w:rPr>
        <w:t xml:space="preserve">🟠 High  |  3</w:t>
      </w:r>
    </w:p>
    <w:p>
      <w:r>
        <w:rPr>
          <w:sz w:val="20"/>
        </w:rPr>
        <w:t xml:space="preserve">🟡 Medium  |  2</w:t>
      </w:r>
    </w:p>
    <w:p>
      <w:r>
        <w:rPr>
          <w:sz w:val="20"/>
        </w:rPr>
        <w:t xml:space="preserve">**Total**  |  **8**</w:t>
      </w:r>
    </w:p>
    <w:p>
      <w:pPr>
        <w:pStyle w:val="Heading2"/>
      </w:pPr>
      <w:r>
        <w:t>Risk Scoring Matrix</w:t>
      </w:r>
    </w:p>
    <w:p>
      <w:r>
        <w:t xml:space="preserve">Risk Score = Likelihood × Impact (1–5 each, max 25)</w:t>
      </w:r>
    </w:p>
    <w:p>
      <w:r>
        <w:rPr>
          <w:sz w:val="20"/>
        </w:rPr>
        <w:t xml:space="preserve">Score Range  |  Level  |  Action Required</w:t>
      </w:r>
    </w:p>
    <w:p>
      <w:r>
        <w:rPr>
          <w:sz w:val="20"/>
        </w:rPr>
        <w:t xml:space="preserve">15–25  |  🔴 Critical  |  Immediate remediation required</w:t>
      </w:r>
    </w:p>
    <w:p>
      <w:r>
        <w:rPr>
          <w:sz w:val="20"/>
        </w:rPr>
        <w:t xml:space="preserve">10–14  |  🟠 High  |  Address within 30 days</w:t>
      </w:r>
    </w:p>
    <w:p>
      <w:r>
        <w:rPr>
          <w:sz w:val="20"/>
        </w:rPr>
        <w:t xml:space="preserve">5–9  |  🟡 Medium  |  Address within 90 days</w:t>
      </w:r>
    </w:p>
    <w:p>
      <w:r>
        <w:rPr>
          <w:sz w:val="20"/>
        </w:rPr>
        <w:t xml:space="preserve">1–4  |  🟢 Low  |  Monitor and review quarterly</w:t>
      </w:r>
    </w:p>
    <w:p>
      <w:pPr>
        <w:pStyle w:val="Heading2"/>
      </w:pPr>
      <w:r>
        <w:t>Risk Register</w:t>
      </w:r>
    </w:p>
    <w:p>
      <w:r>
        <w:rPr>
          <w:sz w:val="20"/>
        </w:rPr>
        <w:t xml:space="preserve">ID  |  Risk  |  Category  |  Likelihood  |  Impact  |  Score  |  Level</w:t>
      </w:r>
    </w:p>
    <w:p>
      <w:r>
        <w:rPr>
          <w:sz w:val="20"/>
        </w:rPr>
        <w:t xml:space="preserve">RISK-004  |  Invalid consent for tracking  |  consent  |  4 (Likely)  |  4 (Major)  |  16  |  🔴 Critical</w:t>
      </w:r>
    </w:p>
    <w:p>
      <w:r>
        <w:rPr>
          <w:sz w:val="20"/>
        </w:rPr>
        <w:t xml:space="preserve">RISK-001  |  User credentials data breach  |  data-breach  |  3 (Possible)  |  5 (Critical)  |  15  |  🔴 Critical</w:t>
      </w:r>
    </w:p>
    <w:p>
      <w:r>
        <w:rPr>
          <w:sz w:val="20"/>
        </w:rPr>
        <w:t xml:space="preserve">RISK-008  |  Missing required compliance documents  |  regulatory  |  5 (Almost Certain)  |  3 (Moderate)  |  15  |  🔴 Critical</w:t>
      </w:r>
    </w:p>
    <w:p>
      <w:r>
        <w:rPr>
          <w:sz w:val="20"/>
        </w:rPr>
        <w:t xml:space="preserve">RISK-005  |  AI data leakage  |  ai-specific  |  3 (Possible)  |  4 (Major)  |  12  |  🟠 High</w:t>
      </w:r>
    </w:p>
    <w:p>
      <w:r>
        <w:rPr>
          <w:sz w:val="20"/>
        </w:rPr>
        <w:t xml:space="preserve">RISK-006  |  EU AI Act non-compliance  |  ai-specific  |  3 (Possible)  |  4 (Major)  |  12  |  🟠 High</w:t>
      </w:r>
    </w:p>
    <w:p>
      <w:r>
        <w:rPr>
          <w:sz w:val="20"/>
        </w:rPr>
        <w:t xml:space="preserve">RISK-002  |  Payment data exposure  |  data-breach  |  2 (Unlikely)  |  5 (Critical)  |  10  |  🟠 High</w:t>
      </w:r>
    </w:p>
    <w:p>
      <w:r>
        <w:rPr>
          <w:sz w:val="20"/>
        </w:rPr>
        <w:t xml:space="preserve">RISK-003  |  Third-party vendor data handling  |  vendor  |  3 (Possible)  |  3 (Moderate)  |  9  |  🟡 Medium</w:t>
      </w:r>
    </w:p>
    <w:p>
      <w:r>
        <w:rPr>
          <w:sz w:val="20"/>
        </w:rPr>
        <w:t xml:space="preserve">RISK-007  |  Unsolicited email communications  |  operational  |  3 (Possible)  |  3 (Moderate)  |  9  |  🟡 Medium</w:t>
      </w:r>
    </w:p>
    <w:p>
      <w:pPr>
        <w:pStyle w:val="Heading2"/>
      </w:pPr>
      <w:r>
        <w:t>Risk Details</w:t>
      </w:r>
    </w:p>
    <w:p>
      <w:pPr>
        <w:pStyle w:val="Heading3"/>
      </w:pPr>
      <w:r>
        <w:t>RISK-004: Invalid consent for tracking 🔴</w:t>
      </w:r>
    </w:p>
    <w:p>
      <w:r>
        <w:t xml:space="preserve">Category: consent  </w:t>
      </w:r>
    </w:p>
    <w:p>
      <w:r>
        <w:t xml:space="preserve">Likelihood: 4/5 (Likely)  </w:t>
      </w:r>
    </w:p>
    <w:p>
      <w:r>
        <w:t xml:space="preserve">Impact: 4/5 (Major)  </w:t>
      </w:r>
    </w:p>
    <w:p>
      <w:r>
        <w:t xml:space="preserve">Risk Score: 16/25 (Critical)  </w:t>
      </w:r>
    </w:p>
    <w:p>
      <w:r>
        <w:t xml:space="preserve">Description: Analytics and advertising services may collect data before obtaining valid user consent, violating GDPR/ePrivacy requirements.</w:t>
      </w:r>
    </w:p>
    <w:p>
      <w:r>
        <w:t xml:space="preserve">Related Services: posthog</w:t>
      </w:r>
    </w:p>
    <w:p>
      <w:r>
        <w:t xml:space="preserve">Mitigations:</w:t>
      </w:r>
    </w:p>
    <w:p>
      <w:pPr>
        <w:pStyle w:val="ListParagraph"/>
        <w:numPr>
          <w:ilvl w:val="0"/>
          <w:numId w:val="1"/>
        </w:numPr>
      </w:pPr>
      <w:r>
        <w:t xml:space="preserve">[ ] Implement a consent management platform (CMP)</w:t>
      </w:r>
    </w:p>
    <w:p>
      <w:pPr>
        <w:pStyle w:val="ListParagraph"/>
        <w:numPr>
          <w:ilvl w:val="0"/>
          <w:numId w:val="1"/>
        </w:numPr>
      </w:pPr>
      <w:r>
        <w:t xml:space="preserve">[ ] Block tracking scripts until consent is obtained</w:t>
      </w:r>
    </w:p>
    <w:p>
      <w:pPr>
        <w:pStyle w:val="ListParagraph"/>
        <w:numPr>
          <w:ilvl w:val="0"/>
          <w:numId w:val="1"/>
        </w:numPr>
      </w:pPr>
      <w:r>
        <w:t xml:space="preserve">[ ] Document and audit consent flows regularly</w:t>
      </w:r>
    </w:p>
    <w:p>
      <w:pPr>
        <w:pStyle w:val="ListParagraph"/>
        <w:numPr>
          <w:ilvl w:val="0"/>
          <w:numId w:val="1"/>
        </w:numPr>
      </w:pPr>
      <w:r>
        <w:t xml:space="preserve">[ ] Provide granular consent options (not just accept/reject)</w:t>
      </w:r>
    </w:p>
    <w:p>
      <w:pPr>
        <w:pStyle w:val="ListParagraph"/>
        <w:numPr>
          <w:ilvl w:val="0"/>
          <w:numId w:val="1"/>
        </w:numPr>
      </w:pPr>
      <w:r>
        <w:t xml:space="preserve">[ ] Implement consent withdrawal mechanisms</w:t>
      </w:r>
    </w:p>
    <w:p>
      <w:pPr>
        <w:pStyle w:val="Heading3"/>
      </w:pPr>
      <w:r>
        <w:t>RISK-001: User credentials data breach 🔴</w:t>
      </w:r>
    </w:p>
    <w:p>
      <w:r>
        <w:t xml:space="preserve">Category: data-breach  </w:t>
      </w:r>
    </w:p>
    <w:p>
      <w:r>
        <w:t xml:space="preserve">Likelihood: 3/5 (Possible)  </w:t>
      </w:r>
    </w:p>
    <w:p>
      <w:r>
        <w:t xml:space="preserve">Impact: 5/5 (Critical)  </w:t>
      </w:r>
    </w:p>
    <w:p>
      <w:r>
        <w:t xml:space="preserve">Risk Score: 15/25 (Critical)  </w:t>
      </w:r>
    </w:p>
    <w:p>
      <w:r>
        <w:t xml:space="preserve">Description: Authentication or database services store user credentials. A breach could expose passwords, tokens, or personal data.</w:t>
      </w:r>
    </w:p>
    <w:p>
      <w:r>
        <w:t xml:space="preserve">Related Services: @supabase/supabase-js, prisma</w:t>
      </w:r>
    </w:p>
    <w:p>
      <w:r>
        <w:t xml:space="preserve">Mitigations:</w:t>
      </w:r>
    </w:p>
    <w:p>
      <w:pPr>
        <w:pStyle w:val="ListParagraph"/>
        <w:numPr>
          <w:ilvl w:val="0"/>
          <w:numId w:val="1"/>
        </w:numPr>
      </w:pPr>
      <w:r>
        <w:t xml:space="preserve">[ ] Implement encryption at rest for all stored credentials</w:t>
      </w:r>
    </w:p>
    <w:p>
      <w:pPr>
        <w:pStyle w:val="ListParagraph"/>
        <w:numPr>
          <w:ilvl w:val="0"/>
          <w:numId w:val="1"/>
        </w:numPr>
      </w:pPr>
      <w:r>
        <w:t xml:space="preserve">[ ] Enable multi-factor authentication</w:t>
      </w:r>
    </w:p>
    <w:p>
      <w:pPr>
        <w:pStyle w:val="ListParagraph"/>
        <w:numPr>
          <w:ilvl w:val="0"/>
          <w:numId w:val="1"/>
        </w:numPr>
      </w:pPr>
      <w:r>
        <w:t xml:space="preserve">[ ] Conduct regular penetration testing</w:t>
      </w:r>
    </w:p>
    <w:p>
      <w:pPr>
        <w:pStyle w:val="ListParagraph"/>
        <w:numPr>
          <w:ilvl w:val="0"/>
          <w:numId w:val="1"/>
        </w:numPr>
      </w:pPr>
      <w:r>
        <w:t xml:space="preserve">[ ] Maintain an incident response plan</w:t>
      </w:r>
    </w:p>
    <w:p>
      <w:pPr>
        <w:pStyle w:val="ListParagraph"/>
        <w:numPr>
          <w:ilvl w:val="0"/>
          <w:numId w:val="1"/>
        </w:numPr>
      </w:pPr>
      <w:r>
        <w:t xml:space="preserve">[ ] Implement rate limiting and account lockout policies</w:t>
      </w:r>
    </w:p>
    <w:p>
      <w:pPr>
        <w:pStyle w:val="Heading3"/>
      </w:pPr>
      <w:r>
        <w:t>RISK-008: Missing required compliance documents 🔴</w:t>
      </w:r>
    </w:p>
    <w:p>
      <w:r>
        <w:t xml:space="preserve">Category: regulatory  </w:t>
      </w:r>
    </w:p>
    <w:p>
      <w:r>
        <w:t xml:space="preserve">Likelihood: 5/5 (Almost Certain)  </w:t>
      </w:r>
    </w:p>
    <w:p>
      <w:r>
        <w:t xml:space="preserve">Impact: 3/5 (Moderate)  </w:t>
      </w:r>
    </w:p>
    <w:p>
      <w:r>
        <w:t xml:space="preserve">Risk Score: 15/25 (Critical)  </w:t>
      </w:r>
    </w:p>
    <w:p>
      <w:r>
        <w:t xml:space="preserve">Description: 3 required compliance document(s) identified but not yet generated: Privacy Policy, AI Disclosure, Cookie Policy.</w:t>
      </w:r>
    </w:p>
    <w:p>
      <w:r>
        <w:t xml:space="preserve">Mitigations:</w:t>
      </w:r>
    </w:p>
    <w:p>
      <w:pPr>
        <w:pStyle w:val="ListParagraph"/>
        <w:numPr>
          <w:ilvl w:val="0"/>
          <w:numId w:val="1"/>
        </w:numPr>
      </w:pPr>
      <w:r>
        <w:t xml:space="preserve">[ ] Run 'codepliant go' to generate required documents</w:t>
      </w:r>
    </w:p>
    <w:p>
      <w:pPr>
        <w:pStyle w:val="ListParagraph"/>
        <w:numPr>
          <w:ilvl w:val="0"/>
          <w:numId w:val="1"/>
        </w:numPr>
      </w:pPr>
      <w:r>
        <w:t xml:space="preserve">[ ] Review and customize generated documents with legal counsel</w:t>
      </w:r>
    </w:p>
    <w:p>
      <w:pPr>
        <w:pStyle w:val="ListParagraph"/>
        <w:numPr>
          <w:ilvl w:val="0"/>
          <w:numId w:val="1"/>
        </w:numPr>
      </w:pPr>
      <w:r>
        <w:t xml:space="preserve">[ ] Publish required documents on your website</w:t>
      </w:r>
    </w:p>
    <w:p>
      <w:pPr>
        <w:pStyle w:val="ListParagraph"/>
        <w:numPr>
          <w:ilvl w:val="0"/>
          <w:numId w:val="1"/>
        </w:numPr>
      </w:pPr>
      <w:r>
        <w:t xml:space="preserve">[ ] Set up regular compliance document reviews (quarterly)</w:t>
      </w:r>
    </w:p>
    <w:p>
      <w:pPr>
        <w:pStyle w:val="Heading3"/>
      </w:pPr>
      <w:r>
        <w:t>RISK-005: AI data leakage 🟠</w:t>
      </w:r>
    </w:p>
    <w:p>
      <w:r>
        <w:t xml:space="preserve">Category: ai-specific  </w:t>
      </w:r>
    </w:p>
    <w:p>
      <w:r>
        <w:t xml:space="preserve">Likelihood: 3/5 (Possible)  </w:t>
      </w:r>
    </w:p>
    <w:p>
      <w:r>
        <w:t xml:space="preserve">Impact: 4/5 (Major)  </w:t>
      </w:r>
    </w:p>
    <w:p>
      <w:r>
        <w:t xml:space="preserve">Risk Score: 12/25 (High)  </w:t>
      </w:r>
    </w:p>
    <w:p>
      <w:r>
        <w:t xml:space="preserve">Description: AI services may process user data through external APIs. Data sent to AI models could be used for training or exposed through model outputs.</w:t>
      </w:r>
    </w:p>
    <w:p>
      <w:r>
        <w:t xml:space="preserve">Related Services: openai</w:t>
      </w:r>
    </w:p>
    <w:p>
      <w:r>
        <w:t xml:space="preserve">Mitigations:</w:t>
      </w:r>
    </w:p>
    <w:p>
      <w:pPr>
        <w:pStyle w:val="ListParagraph"/>
        <w:numPr>
          <w:ilvl w:val="0"/>
          <w:numId w:val="1"/>
        </w:numPr>
      </w:pPr>
      <w:r>
        <w:t xml:space="preserve">[ ] Review AI provider data processing terms and opt out of training</w:t>
      </w:r>
    </w:p>
    <w:p>
      <w:pPr>
        <w:pStyle w:val="ListParagraph"/>
        <w:numPr>
          <w:ilvl w:val="0"/>
          <w:numId w:val="1"/>
        </w:numPr>
      </w:pPr>
      <w:r>
        <w:t xml:space="preserve">[ ] Implement input sanitization before sending data to AI APIs</w:t>
      </w:r>
    </w:p>
    <w:p>
      <w:pPr>
        <w:pStyle w:val="ListParagraph"/>
        <w:numPr>
          <w:ilvl w:val="0"/>
          <w:numId w:val="1"/>
        </w:numPr>
      </w:pPr>
      <w:r>
        <w:t xml:space="preserve">[ ] Log all data sent to and received from AI services</w:t>
      </w:r>
    </w:p>
    <w:p>
      <w:pPr>
        <w:pStyle w:val="ListParagraph"/>
        <w:numPr>
          <w:ilvl w:val="0"/>
          <w:numId w:val="1"/>
        </w:numPr>
      </w:pPr>
      <w:r>
        <w:t xml:space="preserve">[ ] Implement PII detection and redaction before AI processing</w:t>
      </w:r>
    </w:p>
    <w:p>
      <w:pPr>
        <w:pStyle w:val="ListParagraph"/>
        <w:numPr>
          <w:ilvl w:val="0"/>
          <w:numId w:val="1"/>
        </w:numPr>
      </w:pPr>
      <w:r>
        <w:t xml:space="preserve">[ ] Disclose AI usage in privacy policy and terms of service</w:t>
      </w:r>
    </w:p>
    <w:p>
      <w:pPr>
        <w:pStyle w:val="Heading3"/>
      </w:pPr>
      <w:r>
        <w:t>RISK-006: EU AI Act non-compliance 🟠</w:t>
      </w:r>
    </w:p>
    <w:p>
      <w:r>
        <w:t xml:space="preserve">Category: ai-specific  </w:t>
      </w:r>
    </w:p>
    <w:p>
      <w:r>
        <w:t xml:space="preserve">Likelihood: 3/5 (Possible)  </w:t>
      </w:r>
    </w:p>
    <w:p>
      <w:r>
        <w:t xml:space="preserve">Impact: 4/5 (Major)  </w:t>
      </w:r>
    </w:p>
    <w:p>
      <w:r>
        <w:t xml:space="preserve">Risk Score: 12/25 (High)  </w:t>
      </w:r>
    </w:p>
    <w:p>
      <w:r>
        <w:t xml:space="preserve">Description: AI systems may fall under EU AI Act requirements. High-risk AI systems require conformity assessments, registration, and ongoing monitoring.</w:t>
      </w:r>
    </w:p>
    <w:p>
      <w:r>
        <w:t xml:space="preserve">Related Services: openai</w:t>
      </w:r>
    </w:p>
    <w:p>
      <w:r>
        <w:t xml:space="preserve">Mitigations:</w:t>
      </w:r>
    </w:p>
    <w:p>
      <w:pPr>
        <w:pStyle w:val="ListParagraph"/>
        <w:numPr>
          <w:ilvl w:val="0"/>
          <w:numId w:val="1"/>
        </w:numPr>
      </w:pPr>
      <w:r>
        <w:t xml:space="preserve">[ ] Classify AI systems by risk level (minimal/limited/high/unacceptable)</w:t>
      </w:r>
    </w:p>
    <w:p>
      <w:pPr>
        <w:pStyle w:val="ListParagraph"/>
        <w:numPr>
          <w:ilvl w:val="0"/>
          <w:numId w:val="1"/>
        </w:numPr>
      </w:pPr>
      <w:r>
        <w:t xml:space="preserve">[ ] Document AI system purpose, capabilities, and limitations</w:t>
      </w:r>
    </w:p>
    <w:p>
      <w:pPr>
        <w:pStyle w:val="ListParagraph"/>
        <w:numPr>
          <w:ilvl w:val="0"/>
          <w:numId w:val="1"/>
        </w:numPr>
      </w:pPr>
      <w:r>
        <w:t xml:space="preserve">[ ] Implement human oversight mechanisms for high-risk AI</w:t>
      </w:r>
    </w:p>
    <w:p>
      <w:pPr>
        <w:pStyle w:val="ListParagraph"/>
        <w:numPr>
          <w:ilvl w:val="0"/>
          <w:numId w:val="1"/>
        </w:numPr>
      </w:pPr>
      <w:r>
        <w:t xml:space="preserve">[ ] Maintain technical documentation per AI Act Article 11</w:t>
      </w:r>
    </w:p>
    <w:p>
      <w:pPr>
        <w:pStyle w:val="ListParagraph"/>
        <w:numPr>
          <w:ilvl w:val="0"/>
          <w:numId w:val="1"/>
        </w:numPr>
      </w:pPr>
      <w:r>
        <w:t xml:space="preserve">[ ] Register high-risk AI systems in the EU database</w:t>
      </w:r>
    </w:p>
    <w:p>
      <w:pPr>
        <w:pStyle w:val="Heading3"/>
      </w:pPr>
      <w:r>
        <w:t>RISK-002: Payment data exposure 🟠</w:t>
      </w:r>
    </w:p>
    <w:p>
      <w:r>
        <w:t xml:space="preserve">Category: data-breach  </w:t>
      </w:r>
    </w:p>
    <w:p>
      <w:r>
        <w:t xml:space="preserve">Likelihood: 2/5 (Unlikely)  </w:t>
      </w:r>
    </w:p>
    <w:p>
      <w:r>
        <w:t xml:space="preserve">Impact: 5/5 (Critical)  </w:t>
      </w:r>
    </w:p>
    <w:p>
      <w:r>
        <w:t xml:space="preserve">Risk Score: 10/25 (High)  </w:t>
      </w:r>
    </w:p>
    <w:p>
      <w:r>
        <w:t xml:space="preserve">Description: Payment processing services handle sensitive financial data. PCI DSS compliance failures could lead to fines and data exposure.</w:t>
      </w:r>
    </w:p>
    <w:p>
      <w:r>
        <w:t xml:space="preserve">Related Services: stripe, stripe-ios</w:t>
      </w:r>
    </w:p>
    <w:p>
      <w:r>
        <w:t xml:space="preserve">Mitigations:</w:t>
      </w:r>
    </w:p>
    <w:p>
      <w:pPr>
        <w:pStyle w:val="ListParagraph"/>
        <w:numPr>
          <w:ilvl w:val="0"/>
          <w:numId w:val="1"/>
        </w:numPr>
      </w:pPr>
      <w:r>
        <w:t xml:space="preserve">[ ] Verify PCI DSS compliance of all payment processors</w:t>
      </w:r>
    </w:p>
    <w:p>
      <w:pPr>
        <w:pStyle w:val="ListParagraph"/>
        <w:numPr>
          <w:ilvl w:val="0"/>
          <w:numId w:val="1"/>
        </w:numPr>
      </w:pPr>
      <w:r>
        <w:t xml:space="preserve">[ ] Never store raw card numbers — use tokenization</w:t>
      </w:r>
    </w:p>
    <w:p>
      <w:pPr>
        <w:pStyle w:val="ListParagraph"/>
        <w:numPr>
          <w:ilvl w:val="0"/>
          <w:numId w:val="1"/>
        </w:numPr>
      </w:pPr>
      <w:r>
        <w:t xml:space="preserve">[ ] Implement PCI DSS SAQ-A or SAQ-A-EP controls</w:t>
      </w:r>
    </w:p>
    <w:p>
      <w:pPr>
        <w:pStyle w:val="ListParagraph"/>
        <w:numPr>
          <w:ilvl w:val="0"/>
          <w:numId w:val="1"/>
        </w:numPr>
      </w:pPr>
      <w:r>
        <w:t xml:space="preserve">[ ] Conduct annual PCI compliance audits</w:t>
      </w:r>
    </w:p>
    <w:p>
      <w:pPr>
        <w:pStyle w:val="ListParagraph"/>
        <w:numPr>
          <w:ilvl w:val="0"/>
          <w:numId w:val="1"/>
        </w:numPr>
      </w:pPr>
      <w:r>
        <w:t xml:space="preserve">[ ] Use payment processor hosted payment pages where possible</w:t>
      </w:r>
    </w:p>
    <w:p>
      <w:pPr>
        <w:pStyle w:val="Heading3"/>
      </w:pPr>
      <w:r>
        <w:t>RISK-003: Third-party vendor data handling 🟡</w:t>
      </w:r>
    </w:p>
    <w:p>
      <w:r>
        <w:t xml:space="preserve">Category: vendor  </w:t>
      </w:r>
    </w:p>
    <w:p>
      <w:r>
        <w:t xml:space="preserve">Likelihood: 3/5 (Possible)  </w:t>
      </w:r>
    </w:p>
    <w:p>
      <w:r>
        <w:t xml:space="preserve">Impact: 3/5 (Moderate)  </w:t>
      </w:r>
    </w:p>
    <w:p>
      <w:r>
        <w:t xml:space="preserve">Risk Score: 9/25 (Medium)  </w:t>
      </w:r>
    </w:p>
    <w:p>
      <w:r>
        <w:t xml:space="preserve">Description: 8 third-party services detected. Each vendor introduces potential data handling, availability, and compliance risks.</w:t>
      </w:r>
    </w:p>
    <w:p>
      <w:r>
        <w:t xml:space="preserve">Related Services: @sentry/node, @supabase/supabase-js, openai, posthog, prisma, resend, stripe, stripe-ios</w:t>
      </w:r>
    </w:p>
    <w:p>
      <w:r>
        <w:t xml:space="preserve">Mitigations:</w:t>
      </w:r>
    </w:p>
    <w:p>
      <w:pPr>
        <w:pStyle w:val="ListParagraph"/>
        <w:numPr>
          <w:ilvl w:val="0"/>
          <w:numId w:val="1"/>
        </w:numPr>
      </w:pPr>
      <w:r>
        <w:t xml:space="preserve">[ ] Execute Data Processing Agreements (DPAs) with all vendors</w:t>
      </w:r>
    </w:p>
    <w:p>
      <w:pPr>
        <w:pStyle w:val="ListParagraph"/>
        <w:numPr>
          <w:ilvl w:val="0"/>
          <w:numId w:val="1"/>
        </w:numPr>
      </w:pPr>
      <w:r>
        <w:t xml:space="preserve">[ ] Conduct annual vendor security assessments</w:t>
      </w:r>
    </w:p>
    <w:p>
      <w:pPr>
        <w:pStyle w:val="ListParagraph"/>
        <w:numPr>
          <w:ilvl w:val="0"/>
          <w:numId w:val="1"/>
        </w:numPr>
      </w:pPr>
      <w:r>
        <w:t xml:space="preserve">[ ] Maintain a sub-processor list and notify users of changes</w:t>
      </w:r>
    </w:p>
    <w:p>
      <w:pPr>
        <w:pStyle w:val="ListParagraph"/>
        <w:numPr>
          <w:ilvl w:val="0"/>
          <w:numId w:val="1"/>
        </w:numPr>
      </w:pPr>
      <w:r>
        <w:t xml:space="preserve">[ ] Implement vendor exit strategies and data portability plans</w:t>
      </w:r>
    </w:p>
    <w:p>
      <w:pPr>
        <w:pStyle w:val="ListParagraph"/>
        <w:numPr>
          <w:ilvl w:val="0"/>
          <w:numId w:val="1"/>
        </w:numPr>
      </w:pPr>
      <w:r>
        <w:t xml:space="preserve">[ ] Monitor vendor security posture and incident reports</w:t>
      </w:r>
    </w:p>
    <w:p>
      <w:pPr>
        <w:pStyle w:val="Heading3"/>
      </w:pPr>
      <w:r>
        <w:t>RISK-007: Unsolicited email communications 🟡</w:t>
      </w:r>
    </w:p>
    <w:p>
      <w:r>
        <w:t xml:space="preserve">Category: operational  </w:t>
      </w:r>
    </w:p>
    <w:p>
      <w:r>
        <w:t xml:space="preserve">Likelihood: 3/5 (Possible)  </w:t>
      </w:r>
    </w:p>
    <w:p>
      <w:r>
        <w:t xml:space="preserve">Impact: 3/5 (Moderate)  </w:t>
      </w:r>
    </w:p>
    <w:p>
      <w:r>
        <w:t xml:space="preserve">Risk Score: 9/25 (Medium)  </w:t>
      </w:r>
    </w:p>
    <w:p>
      <w:r>
        <w:t xml:space="preserve">Description: Email services may be used to send marketing communications without proper consent, violating CAN-SPAM, GDPR, or CASL.</w:t>
      </w:r>
    </w:p>
    <w:p>
      <w:r>
        <w:t xml:space="preserve">Related Services: resend</w:t>
      </w:r>
    </w:p>
    <w:p>
      <w:r>
        <w:t xml:space="preserve">Mitigations:</w:t>
      </w:r>
    </w:p>
    <w:p>
      <w:pPr>
        <w:pStyle w:val="ListParagraph"/>
        <w:numPr>
          <w:ilvl w:val="0"/>
          <w:numId w:val="1"/>
        </w:numPr>
      </w:pPr>
      <w:r>
        <w:t xml:space="preserve">[ ] Implement double opt-in for marketing emails</w:t>
      </w:r>
    </w:p>
    <w:p>
      <w:pPr>
        <w:pStyle w:val="ListParagraph"/>
        <w:numPr>
          <w:ilvl w:val="0"/>
          <w:numId w:val="1"/>
        </w:numPr>
      </w:pPr>
      <w:r>
        <w:t xml:space="preserve">[ ] Include working unsubscribe links in all marketing emails</w:t>
      </w:r>
    </w:p>
    <w:p>
      <w:pPr>
        <w:pStyle w:val="ListParagraph"/>
        <w:numPr>
          <w:ilvl w:val="0"/>
          <w:numId w:val="1"/>
        </w:numPr>
      </w:pPr>
      <w:r>
        <w:t xml:space="preserve">[ ] Maintain suppression lists and honor unsubscribe requests promptly</w:t>
      </w:r>
    </w:p>
    <w:p>
      <w:pPr>
        <w:pStyle w:val="ListParagraph"/>
        <w:numPr>
          <w:ilvl w:val="0"/>
          <w:numId w:val="1"/>
        </w:numPr>
      </w:pPr>
      <w:r>
        <w:t xml:space="preserve">[ ] Separate transactional and marketing email flows</w:t>
      </w:r>
    </w:p>
    <w:p>
      <w:pPr>
        <w:pStyle w:val="ListParagraph"/>
        <w:numPr>
          <w:ilvl w:val="0"/>
          <w:numId w:val="1"/>
        </w:numPr>
      </w:pPr>
      <w:r>
        <w:t xml:space="preserve">[ ] Document lawful basis for each email communication type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Privacy Impact Assessment (`PRIVACY_IMPACT_ASSESSMENT.md`)</w:t>
      </w:r>
    </w:p>
    <w:p>
      <w:pPr>
        <w:pStyle w:val="ListParagraph"/>
        <w:numPr>
          <w:ilvl w:val="0"/>
          <w:numId w:val="1"/>
        </w:numPr>
      </w:pPr>
      <w:r>
        <w:t xml:space="preserve">Third-Party Risk Assessment (`THIRD_PARTY_RISK_ASSESSMENT.md`)</w:t>
      </w:r>
    </w:p>
    <w:p>
      <w:pPr>
        <w:pStyle w:val="ListParagraph"/>
        <w:numPr>
          <w:ilvl w:val="0"/>
          <w:numId w:val="1"/>
        </w:numPr>
      </w:pPr>
      <w:r>
        <w:t xml:space="preserve">Information Security Policy (`INFORMATION_SECURITY_POLICY.md`)</w:t>
      </w:r>
    </w:p>
    <w:p>
      <w:pPr>
        <w:pBdr>
          <w:bottom w:val="single" w:sz="6" w:space="1" w:color="999999"/>
        </w:pBdr>
      </w:pPr>
    </w:p>
    <w:p>
      <w:r>
        <w:t xml:space="preserve">This risk register is generated from automated code analysis and should be reviewed by qualified legal and security professionals. It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